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C49BD" w14:textId="77777777" w:rsidR="00A351C8" w:rsidRDefault="00A351C8" w:rsidP="00A351C8">
      <w:pPr>
        <w:spacing w:after="240"/>
        <w:jc w:val="center"/>
        <w:rPr>
          <w:b/>
        </w:rPr>
      </w:pPr>
      <w:r w:rsidRPr="007C65EF">
        <w:rPr>
          <w:b/>
        </w:rPr>
        <w:t>Bekanntmachung</w:t>
      </w:r>
    </w:p>
    <w:p w14:paraId="422ACA9C" w14:textId="76BF8D48" w:rsidR="00A351C8" w:rsidRDefault="00A351C8" w:rsidP="00E16B33">
      <w:pPr>
        <w:spacing w:line="276" w:lineRule="auto"/>
        <w:rPr>
          <w:b/>
        </w:rPr>
      </w:pPr>
    </w:p>
    <w:p w14:paraId="787D8DF6" w14:textId="2EA0AACC" w:rsidR="00FA4229" w:rsidRDefault="00FB629A" w:rsidP="00E16B33">
      <w:pPr>
        <w:spacing w:line="276" w:lineRule="auto"/>
        <w:rPr>
          <w:b/>
        </w:rPr>
      </w:pPr>
      <w:r>
        <w:rPr>
          <w:b/>
        </w:rPr>
        <w:t>Vollzug der Wassergesetze;</w:t>
      </w:r>
    </w:p>
    <w:p w14:paraId="64C51D2A" w14:textId="0BDC32A0" w:rsidR="00FB629A" w:rsidRDefault="00FB629A" w:rsidP="00E16B33">
      <w:pPr>
        <w:spacing w:line="276" w:lineRule="auto"/>
        <w:rPr>
          <w:b/>
        </w:rPr>
      </w:pPr>
      <w:r>
        <w:rPr>
          <w:b/>
        </w:rPr>
        <w:t>Festsetzung des Überschwemmungsgebiets der Großen Laber einschließlich des Mündungsbereichs der Kleinen Laber</w:t>
      </w:r>
    </w:p>
    <w:p w14:paraId="7B8B0EDB" w14:textId="3D037E74" w:rsidR="00C82A84" w:rsidRDefault="00E16B33" w:rsidP="00FB629A">
      <w:pPr>
        <w:spacing w:after="240"/>
        <w:jc w:val="both"/>
      </w:pPr>
      <w:r>
        <w:rPr>
          <w:b/>
        </w:rPr>
        <w:br/>
      </w:r>
      <w:r w:rsidR="00FB629A">
        <w:t xml:space="preserve">Das Landratsamt Straubing-Bogen beabsichtigt, das Überschwemmungsgebiet der Großen Laber einschließlich des Mündungsbereichs der Kleinen Laber im Bereich der Gemeinden </w:t>
      </w:r>
      <w:proofErr w:type="spellStart"/>
      <w:r w:rsidR="00FB629A">
        <w:t>Aholfing</w:t>
      </w:r>
      <w:proofErr w:type="spellEnd"/>
      <w:r w:rsidR="00FB629A">
        <w:t xml:space="preserve">, </w:t>
      </w:r>
      <w:proofErr w:type="spellStart"/>
      <w:r w:rsidR="00FB629A">
        <w:t>Atting</w:t>
      </w:r>
      <w:proofErr w:type="spellEnd"/>
      <w:r w:rsidR="00FB629A">
        <w:t xml:space="preserve">, Rain, </w:t>
      </w:r>
      <w:proofErr w:type="spellStart"/>
      <w:r w:rsidR="00FB629A">
        <w:t>Mötzing</w:t>
      </w:r>
      <w:proofErr w:type="spellEnd"/>
      <w:r w:rsidR="00FB629A">
        <w:t xml:space="preserve"> (Landkreis Regensburg) und der Stadt Straubing durch Verordnung festzusetzen.</w:t>
      </w:r>
    </w:p>
    <w:p w14:paraId="7511D3B6" w14:textId="20BA42B7" w:rsidR="00FB629A" w:rsidRDefault="00FB629A" w:rsidP="00FB629A">
      <w:pPr>
        <w:spacing w:after="240"/>
        <w:jc w:val="both"/>
      </w:pPr>
      <w:r>
        <w:t xml:space="preserve">Das beidseitige Überschwemmungsgebiet der Kleinen Laber von Flusskilometer 0,0 bis Flusskilometer 11,224 (=Brücke der B8 bei </w:t>
      </w:r>
      <w:proofErr w:type="spellStart"/>
      <w:r>
        <w:t>Schönach</w:t>
      </w:r>
      <w:proofErr w:type="spellEnd"/>
      <w:r>
        <w:t>) liegt inner</w:t>
      </w:r>
      <w:r w:rsidR="00A82258">
        <w:t>halb des Hochwasserrisikogebiet</w:t>
      </w:r>
      <w:r>
        <w:t xml:space="preserve">s und ist nach § 76 Wasserhaushaltsgesetz (WHG) </w:t>
      </w:r>
      <w:proofErr w:type="spellStart"/>
      <w:r>
        <w:t>i.V.m</w:t>
      </w:r>
      <w:proofErr w:type="spellEnd"/>
      <w:r>
        <w:t>. Art. 46 Abs. 3, Art. 63 und Art. 73 des Bayerischen Wassergesetzes (</w:t>
      </w:r>
      <w:proofErr w:type="spellStart"/>
      <w:r>
        <w:t>BayWG</w:t>
      </w:r>
      <w:proofErr w:type="spellEnd"/>
      <w:r>
        <w:t>) verpflichtend vom Landratsamt Straubing-Bogen durch Verordnung festzusetzen.</w:t>
      </w:r>
    </w:p>
    <w:p w14:paraId="794C5D62" w14:textId="2F1E8029" w:rsidR="00372B1A" w:rsidRDefault="00FB629A" w:rsidP="007C65EF">
      <w:pPr>
        <w:spacing w:after="240"/>
        <w:jc w:val="both"/>
      </w:pPr>
      <w:r>
        <w:t>Der vollständige Entwurf der Verordnung über das festzusetzende Überschwemmungsgebiet mit allen vorgesehenen Regeln und den zugehörigen Plänen, aus denen der Umfang des Überschwemmung</w:t>
      </w:r>
      <w:r w:rsidR="00E43EC4">
        <w:t>sgebiets ersichtlich ist, liegt</w:t>
      </w:r>
      <w:r w:rsidR="00C82A84" w:rsidRPr="00C82A84">
        <w:t xml:space="preserve"> </w:t>
      </w:r>
      <w:r w:rsidR="00372B1A">
        <w:t>in der Zeit</w:t>
      </w:r>
    </w:p>
    <w:p w14:paraId="3487E1F1" w14:textId="4A669E41" w:rsidR="00372B1A" w:rsidRPr="00A82258" w:rsidRDefault="00FB629A" w:rsidP="007C65EF">
      <w:pPr>
        <w:spacing w:after="240"/>
        <w:jc w:val="both"/>
        <w:rPr>
          <w:b/>
        </w:rPr>
      </w:pPr>
      <w:r w:rsidRPr="00A82258">
        <w:rPr>
          <w:b/>
        </w:rPr>
        <w:t xml:space="preserve">vom 29.02.2024 bis </w:t>
      </w:r>
      <w:r w:rsidR="00E43EC4" w:rsidRPr="00A82258">
        <w:rPr>
          <w:b/>
        </w:rPr>
        <w:t xml:space="preserve">einschließlich </w:t>
      </w:r>
      <w:r w:rsidRPr="00A82258">
        <w:rPr>
          <w:b/>
        </w:rPr>
        <w:t xml:space="preserve">28.03.2024 </w:t>
      </w:r>
    </w:p>
    <w:p w14:paraId="09C233A4" w14:textId="4692D635" w:rsidR="007C65EF" w:rsidRPr="007C65EF" w:rsidRDefault="007C65EF" w:rsidP="007C65EF">
      <w:pPr>
        <w:spacing w:after="240"/>
        <w:jc w:val="both"/>
      </w:pPr>
      <w:r>
        <w:rPr>
          <w:rFonts w:cs="Arial"/>
          <w:szCs w:val="22"/>
        </w:rPr>
        <w:t xml:space="preserve">in der Dienststelle des Amtes für Umwelt- und Naturschutz der Stadt Straubing, </w:t>
      </w:r>
      <w:proofErr w:type="spellStart"/>
      <w:r>
        <w:rPr>
          <w:rFonts w:cs="Arial"/>
          <w:szCs w:val="22"/>
        </w:rPr>
        <w:t>Hebbelstraße</w:t>
      </w:r>
      <w:proofErr w:type="spellEnd"/>
      <w:r>
        <w:rPr>
          <w:rFonts w:cs="Arial"/>
          <w:szCs w:val="22"/>
        </w:rPr>
        <w:t xml:space="preserve"> 14, 2. Stock, </w:t>
      </w:r>
      <w:proofErr w:type="spellStart"/>
      <w:r>
        <w:rPr>
          <w:rFonts w:cs="Arial"/>
          <w:szCs w:val="22"/>
        </w:rPr>
        <w:t>Zi</w:t>
      </w:r>
      <w:proofErr w:type="spellEnd"/>
      <w:r>
        <w:rPr>
          <w:rFonts w:cs="Arial"/>
          <w:szCs w:val="22"/>
        </w:rPr>
        <w:t xml:space="preserve">. Nr. 3, 94315 Straubing, </w:t>
      </w:r>
      <w:r>
        <w:rPr>
          <w:rFonts w:cs="Arial"/>
        </w:rPr>
        <w:t xml:space="preserve">während der allgemeinen Dienstzeiten (Montag bis Mittwoch von 08.00 bis 12.00 Uhr und von 14.00 bis 16.00 Uhr, Donnerstag von 08.00 bis 12.00 Uhr und von 14.00 Uhr bis 17.00 Uhr, Freitag von 08.00 Uhr bis 12.00 Uhr) </w:t>
      </w:r>
      <w:r w:rsidR="008A1B2E">
        <w:rPr>
          <w:rFonts w:cs="Arial"/>
          <w:szCs w:val="22"/>
        </w:rPr>
        <w:t>zur Eins</w:t>
      </w:r>
      <w:r w:rsidR="00A82258">
        <w:rPr>
          <w:rFonts w:cs="Arial"/>
          <w:szCs w:val="22"/>
        </w:rPr>
        <w:t>ichtnahme aus</w:t>
      </w:r>
      <w:r w:rsidR="008A1B2E">
        <w:rPr>
          <w:rFonts w:cs="Arial"/>
          <w:szCs w:val="22"/>
        </w:rPr>
        <w:t>.</w:t>
      </w:r>
    </w:p>
    <w:p w14:paraId="6C4F1CED" w14:textId="3FC22F7E" w:rsidR="008A1B2E" w:rsidRPr="0072563C" w:rsidRDefault="008A1B2E" w:rsidP="007C65EF">
      <w:pPr>
        <w:spacing w:after="240"/>
        <w:jc w:val="both"/>
        <w:rPr>
          <w:rFonts w:cs="Arial"/>
          <w:color w:val="000000" w:themeColor="text1"/>
          <w:szCs w:val="22"/>
        </w:rPr>
      </w:pPr>
      <w:r w:rsidRPr="0072563C">
        <w:rPr>
          <w:rFonts w:cs="Arial"/>
          <w:color w:val="000000" w:themeColor="text1"/>
          <w:szCs w:val="22"/>
        </w:rPr>
        <w:t xml:space="preserve">Jeder, dessen Belange durch das Vorhaben berührt werden, kann bis zwei Wochen nach Ablauf der Auslegungsfrist schriftlich oder zur Niederschrift beim Landratsamt Straubing-Bogen, </w:t>
      </w:r>
      <w:proofErr w:type="spellStart"/>
      <w:r w:rsidRPr="0072563C">
        <w:rPr>
          <w:rFonts w:cs="Arial"/>
          <w:color w:val="000000" w:themeColor="text1"/>
          <w:szCs w:val="22"/>
        </w:rPr>
        <w:t>Leutnerstraße</w:t>
      </w:r>
      <w:proofErr w:type="spellEnd"/>
      <w:r w:rsidRPr="0072563C">
        <w:rPr>
          <w:rFonts w:cs="Arial"/>
          <w:color w:val="000000" w:themeColor="text1"/>
          <w:szCs w:val="22"/>
        </w:rPr>
        <w:t xml:space="preserve"> 15, 94315 Straubing, oder bei der Stadt Straubing, </w:t>
      </w:r>
      <w:proofErr w:type="spellStart"/>
      <w:r w:rsidRPr="0072563C">
        <w:rPr>
          <w:rFonts w:cs="Arial"/>
          <w:color w:val="000000" w:themeColor="text1"/>
          <w:szCs w:val="22"/>
        </w:rPr>
        <w:t>Theresienplatz</w:t>
      </w:r>
      <w:proofErr w:type="spellEnd"/>
      <w:r w:rsidRPr="0072563C">
        <w:rPr>
          <w:rFonts w:cs="Arial"/>
          <w:color w:val="000000" w:themeColor="text1"/>
          <w:szCs w:val="22"/>
        </w:rPr>
        <w:t xml:space="preserve"> 2, 94315 Straubing, Einwendungen gegen den Plan erheben. Etwaige Einwendungen sind bei den vorbezeichneten Stellen innerhalb der Einwendungsfrist vorzubringen.</w:t>
      </w:r>
    </w:p>
    <w:p w14:paraId="7EE44CE3" w14:textId="59BCB439" w:rsidR="008A1B2E" w:rsidRDefault="008A1B2E" w:rsidP="007C65EF">
      <w:pPr>
        <w:spacing w:after="240"/>
        <w:jc w:val="both"/>
        <w:rPr>
          <w:rFonts w:cs="Arial"/>
          <w:color w:val="000000" w:themeColor="text1"/>
          <w:szCs w:val="22"/>
        </w:rPr>
      </w:pPr>
      <w:r w:rsidRPr="0072563C">
        <w:rPr>
          <w:rFonts w:cs="Arial"/>
          <w:color w:val="000000" w:themeColor="text1"/>
          <w:szCs w:val="22"/>
        </w:rPr>
        <w:t>Es wird darauf hingewiesen, dass</w:t>
      </w:r>
      <w:r w:rsidR="00AF0A5E">
        <w:rPr>
          <w:rFonts w:cs="Arial"/>
          <w:color w:val="000000" w:themeColor="text1"/>
          <w:szCs w:val="22"/>
        </w:rPr>
        <w:t xml:space="preserve"> mit Ablauf der Einwendungsfrist alle Einwendungen ausgeschlossen sind, die nicht auf </w:t>
      </w:r>
      <w:r w:rsidR="00965CDE">
        <w:rPr>
          <w:rFonts w:cs="Arial"/>
          <w:color w:val="000000" w:themeColor="text1"/>
          <w:szCs w:val="22"/>
        </w:rPr>
        <w:t>besonderen privatrechtlichen Titeln beruhen.</w:t>
      </w:r>
    </w:p>
    <w:p w14:paraId="71DA818D" w14:textId="5FCA3853" w:rsidR="00965CDE" w:rsidRDefault="00965CDE" w:rsidP="007C65EF">
      <w:pPr>
        <w:spacing w:after="240"/>
        <w:jc w:val="both"/>
        <w:rPr>
          <w:rFonts w:cs="Arial"/>
          <w:color w:val="000000" w:themeColor="text1"/>
          <w:szCs w:val="22"/>
        </w:rPr>
      </w:pPr>
      <w:r>
        <w:rPr>
          <w:rFonts w:cs="Arial"/>
          <w:color w:val="000000" w:themeColor="text1"/>
          <w:szCs w:val="22"/>
        </w:rPr>
        <w:t>Weiterhin wird darauf hingewiesen, dass</w:t>
      </w:r>
    </w:p>
    <w:p w14:paraId="2A5016EF" w14:textId="2667C927" w:rsidR="009E65D6" w:rsidRPr="0072563C" w:rsidRDefault="00965CDE" w:rsidP="007C65EF">
      <w:pPr>
        <w:spacing w:after="240"/>
        <w:jc w:val="both"/>
        <w:rPr>
          <w:rFonts w:cs="Arial"/>
          <w:color w:val="000000" w:themeColor="text1"/>
          <w:szCs w:val="22"/>
        </w:rPr>
      </w:pPr>
      <w:r>
        <w:rPr>
          <w:rFonts w:cs="Arial"/>
          <w:color w:val="000000" w:themeColor="text1"/>
          <w:szCs w:val="22"/>
        </w:rPr>
        <w:t>a) b</w:t>
      </w:r>
      <w:r w:rsidR="009E65D6">
        <w:rPr>
          <w:rFonts w:cs="Arial"/>
          <w:color w:val="000000" w:themeColor="text1"/>
          <w:szCs w:val="22"/>
        </w:rPr>
        <w:t>ei Ausbleiben eines Beteiligten in dem Erörterungstermin auch ohne ihn verhandelt werden kann,</w:t>
      </w:r>
    </w:p>
    <w:p w14:paraId="0A3F4DF9" w14:textId="4C8F01C9" w:rsidR="00070216" w:rsidRDefault="009E65D6" w:rsidP="007C65EF">
      <w:pPr>
        <w:spacing w:after="240"/>
        <w:jc w:val="both"/>
        <w:rPr>
          <w:rFonts w:cs="Arial"/>
          <w:color w:val="000000" w:themeColor="text1"/>
          <w:szCs w:val="22"/>
        </w:rPr>
      </w:pPr>
      <w:r>
        <w:rPr>
          <w:rFonts w:cs="Arial"/>
          <w:color w:val="000000" w:themeColor="text1"/>
          <w:szCs w:val="22"/>
        </w:rPr>
        <w:t>b</w:t>
      </w:r>
      <w:r w:rsidR="008A1B2E" w:rsidRPr="0072563C">
        <w:rPr>
          <w:rFonts w:cs="Arial"/>
          <w:color w:val="000000" w:themeColor="text1"/>
          <w:szCs w:val="22"/>
        </w:rPr>
        <w:t xml:space="preserve">) </w:t>
      </w:r>
      <w:r w:rsidR="00070216">
        <w:rPr>
          <w:rFonts w:cs="Arial"/>
          <w:color w:val="000000" w:themeColor="text1"/>
          <w:szCs w:val="22"/>
        </w:rPr>
        <w:t>dass,</w:t>
      </w:r>
    </w:p>
    <w:p w14:paraId="7799E57A" w14:textId="72EE768F" w:rsidR="008A1B2E" w:rsidRPr="0072563C" w:rsidRDefault="00070216" w:rsidP="007C65EF">
      <w:pPr>
        <w:spacing w:after="240"/>
        <w:jc w:val="both"/>
        <w:rPr>
          <w:rFonts w:cs="Arial"/>
          <w:color w:val="000000" w:themeColor="text1"/>
          <w:szCs w:val="22"/>
        </w:rPr>
      </w:pPr>
      <w:r>
        <w:rPr>
          <w:rFonts w:cs="Arial"/>
          <w:color w:val="000000" w:themeColor="text1"/>
          <w:szCs w:val="22"/>
        </w:rPr>
        <w:t xml:space="preserve">   </w:t>
      </w:r>
      <w:proofErr w:type="spellStart"/>
      <w:r>
        <w:rPr>
          <w:rFonts w:cs="Arial"/>
          <w:color w:val="000000" w:themeColor="text1"/>
          <w:szCs w:val="22"/>
        </w:rPr>
        <w:t>bb</w:t>
      </w:r>
      <w:proofErr w:type="spellEnd"/>
      <w:r>
        <w:rPr>
          <w:rFonts w:cs="Arial"/>
          <w:color w:val="000000" w:themeColor="text1"/>
          <w:szCs w:val="22"/>
        </w:rPr>
        <w:t xml:space="preserve">) </w:t>
      </w:r>
      <w:r w:rsidR="008A1B2E" w:rsidRPr="0072563C">
        <w:rPr>
          <w:rFonts w:cs="Arial"/>
          <w:color w:val="000000" w:themeColor="text1"/>
          <w:szCs w:val="22"/>
        </w:rPr>
        <w:t xml:space="preserve">Personen, die </w:t>
      </w:r>
      <w:r w:rsidR="009E65D6">
        <w:rPr>
          <w:rFonts w:cs="Arial"/>
          <w:color w:val="000000" w:themeColor="text1"/>
          <w:szCs w:val="22"/>
        </w:rPr>
        <w:t>Einwendungen</w:t>
      </w:r>
      <w:r w:rsidR="008A1B2E" w:rsidRPr="0072563C">
        <w:rPr>
          <w:rFonts w:cs="Arial"/>
          <w:color w:val="000000" w:themeColor="text1"/>
          <w:szCs w:val="22"/>
        </w:rPr>
        <w:t xml:space="preserve"> erhoben haben, von dem Erörterungstermin durch öffentliche </w:t>
      </w:r>
      <w:r>
        <w:rPr>
          <w:rFonts w:cs="Arial"/>
          <w:color w:val="000000" w:themeColor="text1"/>
          <w:szCs w:val="22"/>
        </w:rPr>
        <w:t xml:space="preserve"> </w:t>
      </w:r>
      <w:r>
        <w:rPr>
          <w:rFonts w:cs="Arial"/>
          <w:color w:val="000000" w:themeColor="text1"/>
          <w:szCs w:val="22"/>
        </w:rPr>
        <w:br/>
        <w:t xml:space="preserve">   </w:t>
      </w:r>
      <w:r w:rsidR="008A1B2E" w:rsidRPr="0072563C">
        <w:rPr>
          <w:rFonts w:cs="Arial"/>
          <w:color w:val="000000" w:themeColor="text1"/>
          <w:szCs w:val="22"/>
        </w:rPr>
        <w:t>Bekanntmachung benachrichtigt werden können,</w:t>
      </w:r>
    </w:p>
    <w:p w14:paraId="47C3E5CD" w14:textId="0055DB31" w:rsidR="008A1B2E" w:rsidRPr="0072563C" w:rsidRDefault="00070216" w:rsidP="007C65EF">
      <w:pPr>
        <w:spacing w:after="240"/>
        <w:jc w:val="both"/>
        <w:rPr>
          <w:rFonts w:cs="Arial"/>
          <w:color w:val="000000" w:themeColor="text1"/>
          <w:szCs w:val="22"/>
        </w:rPr>
      </w:pPr>
      <w:r>
        <w:rPr>
          <w:rFonts w:cs="Arial"/>
          <w:color w:val="000000" w:themeColor="text1"/>
          <w:szCs w:val="22"/>
        </w:rPr>
        <w:lastRenderedPageBreak/>
        <w:t xml:space="preserve">   cc</w:t>
      </w:r>
      <w:r w:rsidR="008A1B2E" w:rsidRPr="0072563C">
        <w:rPr>
          <w:rFonts w:cs="Arial"/>
          <w:color w:val="000000" w:themeColor="text1"/>
          <w:szCs w:val="22"/>
        </w:rPr>
        <w:t xml:space="preserve">) die Zustellung der Entscheidung über Bedenken durch öffentliche Bekanntmachung ersetzt </w:t>
      </w:r>
      <w:r>
        <w:rPr>
          <w:rFonts w:cs="Arial"/>
          <w:color w:val="000000" w:themeColor="text1"/>
          <w:szCs w:val="22"/>
        </w:rPr>
        <w:br/>
        <w:t xml:space="preserve">   </w:t>
      </w:r>
      <w:r w:rsidR="008A1B2E" w:rsidRPr="0072563C">
        <w:rPr>
          <w:rFonts w:cs="Arial"/>
          <w:color w:val="000000" w:themeColor="text1"/>
          <w:szCs w:val="22"/>
        </w:rPr>
        <w:t>werden kann,</w:t>
      </w:r>
    </w:p>
    <w:p w14:paraId="61F42B9F" w14:textId="3AC5FD31" w:rsidR="008A1B2E" w:rsidRDefault="008A1B2E" w:rsidP="007C65EF">
      <w:pPr>
        <w:spacing w:after="240"/>
        <w:jc w:val="both"/>
        <w:rPr>
          <w:rFonts w:cs="Arial"/>
          <w:color w:val="000000" w:themeColor="text1"/>
          <w:szCs w:val="22"/>
        </w:rPr>
      </w:pPr>
      <w:r w:rsidRPr="0072563C">
        <w:rPr>
          <w:rFonts w:cs="Arial"/>
          <w:color w:val="000000" w:themeColor="text1"/>
          <w:szCs w:val="22"/>
        </w:rPr>
        <w:t>wenn mehr als 50 Benachrichtigungen ode</w:t>
      </w:r>
      <w:r w:rsidR="00A82258">
        <w:rPr>
          <w:rFonts w:cs="Arial"/>
          <w:color w:val="000000" w:themeColor="text1"/>
          <w:szCs w:val="22"/>
        </w:rPr>
        <w:t>r Zustellungen vorzunehmen sind.</w:t>
      </w:r>
    </w:p>
    <w:p w14:paraId="3976A324" w14:textId="77777777" w:rsidR="00070216" w:rsidRDefault="00070216" w:rsidP="00C10379">
      <w:pPr>
        <w:pStyle w:val="Listenabsatz"/>
        <w:spacing w:before="0" w:after="0" w:line="276" w:lineRule="auto"/>
        <w:ind w:left="0"/>
        <w:jc w:val="both"/>
        <w:rPr>
          <w:rFonts w:cs="Arial"/>
          <w:color w:val="000000"/>
        </w:rPr>
      </w:pPr>
    </w:p>
    <w:p w14:paraId="2989E0AA" w14:textId="7C007ADE" w:rsidR="00C10379" w:rsidRDefault="00C10379" w:rsidP="00C10379">
      <w:pPr>
        <w:pStyle w:val="Listenabsatz"/>
        <w:spacing w:before="0" w:after="0" w:line="276" w:lineRule="auto"/>
        <w:ind w:left="0"/>
        <w:jc w:val="both"/>
        <w:rPr>
          <w:rFonts w:cs="Arial"/>
          <w:color w:val="000000"/>
        </w:rPr>
      </w:pPr>
      <w:r>
        <w:rPr>
          <w:rFonts w:cs="Arial"/>
          <w:color w:val="000000"/>
        </w:rPr>
        <w:t xml:space="preserve">Zudem sind der Inhalt dieser Bekanntmachung sowie der vollständige Entwurf der Verordnung über das festzusetzende Überschwemmungsgebiet mit allen vorgesehenen Regeln und den zugehörigen Plänen, aus denen der Umfang des Überschwemmungsgebiets ersichtlich ist, </w:t>
      </w:r>
      <w:r w:rsidR="00B604E2">
        <w:rPr>
          <w:rFonts w:cs="Arial"/>
          <w:color w:val="000000"/>
        </w:rPr>
        <w:t xml:space="preserve">auf der Homepage der Stadt Straubing </w:t>
      </w:r>
      <w:r>
        <w:rPr>
          <w:rFonts w:cs="Arial"/>
          <w:color w:val="000000"/>
        </w:rPr>
        <w:t xml:space="preserve">unter </w:t>
      </w:r>
      <w:hyperlink r:id="rId9" w:history="1">
        <w:r>
          <w:rPr>
            <w:rStyle w:val="Hyperlink"/>
            <w:rFonts w:cs="Arial"/>
          </w:rPr>
          <w:t>www.straubing.de</w:t>
        </w:r>
      </w:hyperlink>
      <w:r>
        <w:rPr>
          <w:rFonts w:cs="Arial"/>
          <w:color w:val="000000"/>
        </w:rPr>
        <w:t xml:space="preserve"> (Rathaus &amp; Verwaltung, Verwaltung &amp; Dienstleistungen, Ämter &amp; Dienststellen, Umwelt- und Naturschutz, Weitere Informationen der Dienststelle) veröffentlicht.</w:t>
      </w:r>
    </w:p>
    <w:p w14:paraId="51CC2003" w14:textId="77777777" w:rsidR="00C10379" w:rsidRPr="00C10379" w:rsidRDefault="00C10379" w:rsidP="00C10379">
      <w:pPr>
        <w:pStyle w:val="Listenabsatz"/>
        <w:spacing w:before="0" w:after="0" w:line="276" w:lineRule="auto"/>
        <w:ind w:left="0"/>
        <w:jc w:val="both"/>
        <w:rPr>
          <w:color w:val="000000" w:themeColor="text1"/>
        </w:rPr>
      </w:pPr>
    </w:p>
    <w:p w14:paraId="6F594C44" w14:textId="6E6C1029" w:rsidR="00A23371" w:rsidRPr="0072563C" w:rsidRDefault="00DE0146" w:rsidP="00A23371">
      <w:pPr>
        <w:pStyle w:val="Listenabsatz"/>
        <w:spacing w:before="0" w:after="0" w:line="276" w:lineRule="auto"/>
        <w:ind w:left="0"/>
        <w:jc w:val="both"/>
        <w:rPr>
          <w:color w:val="000000" w:themeColor="text1"/>
        </w:rPr>
      </w:pPr>
      <w:r w:rsidRPr="0072563C">
        <w:rPr>
          <w:color w:val="000000" w:themeColor="text1"/>
        </w:rPr>
        <w:t xml:space="preserve">Straubing, </w:t>
      </w:r>
      <w:r w:rsidR="00C10379">
        <w:rPr>
          <w:color w:val="000000" w:themeColor="text1"/>
        </w:rPr>
        <w:t>19</w:t>
      </w:r>
      <w:r w:rsidR="00A23371">
        <w:rPr>
          <w:color w:val="000000" w:themeColor="text1"/>
        </w:rPr>
        <w:t>.02.2024</w:t>
      </w:r>
    </w:p>
    <w:p w14:paraId="5E065509" w14:textId="76E1075C" w:rsidR="0053513F" w:rsidRPr="0072563C" w:rsidRDefault="00A23371" w:rsidP="0053513F">
      <w:pPr>
        <w:pStyle w:val="Listenabsatz"/>
        <w:spacing w:before="0" w:after="0" w:line="276" w:lineRule="auto"/>
        <w:ind w:left="0"/>
        <w:jc w:val="both"/>
        <w:rPr>
          <w:color w:val="000000" w:themeColor="text1"/>
        </w:rPr>
      </w:pPr>
      <w:r>
        <w:rPr>
          <w:color w:val="000000" w:themeColor="text1"/>
        </w:rPr>
        <w:t>STADT STRAUBING</w:t>
      </w:r>
    </w:p>
    <w:p w14:paraId="23B5C543" w14:textId="36AD43F3" w:rsidR="0053513F" w:rsidRDefault="0053513F" w:rsidP="0053513F">
      <w:pPr>
        <w:pStyle w:val="Listenabsatz"/>
        <w:spacing w:before="0" w:after="0" w:line="276" w:lineRule="auto"/>
        <w:ind w:left="0"/>
        <w:jc w:val="both"/>
        <w:rPr>
          <w:color w:val="000000" w:themeColor="text1"/>
        </w:rPr>
      </w:pPr>
    </w:p>
    <w:p w14:paraId="30148337" w14:textId="7BF6AE65" w:rsidR="00A23371" w:rsidRDefault="00A23371" w:rsidP="0053513F">
      <w:pPr>
        <w:pStyle w:val="Listenabsatz"/>
        <w:spacing w:before="0" w:after="0" w:line="276" w:lineRule="auto"/>
        <w:ind w:left="0"/>
        <w:jc w:val="both"/>
        <w:rPr>
          <w:color w:val="000000" w:themeColor="text1"/>
        </w:rPr>
      </w:pPr>
    </w:p>
    <w:p w14:paraId="418D48C9" w14:textId="77777777" w:rsidR="00A23371" w:rsidRPr="0072563C" w:rsidRDefault="00A23371" w:rsidP="0053513F">
      <w:pPr>
        <w:pStyle w:val="Listenabsatz"/>
        <w:spacing w:before="0" w:after="0" w:line="276" w:lineRule="auto"/>
        <w:ind w:left="0"/>
        <w:jc w:val="both"/>
        <w:rPr>
          <w:color w:val="000000" w:themeColor="text1"/>
        </w:rPr>
      </w:pPr>
      <w:bookmarkStart w:id="0" w:name="_GoBack"/>
      <w:bookmarkEnd w:id="0"/>
    </w:p>
    <w:p w14:paraId="61DB1A55" w14:textId="4616BC01" w:rsidR="0053513F" w:rsidRPr="0072563C" w:rsidRDefault="0053513F" w:rsidP="0053513F">
      <w:pPr>
        <w:pStyle w:val="Listenabsatz"/>
        <w:spacing w:before="0" w:after="0" w:line="276" w:lineRule="auto"/>
        <w:ind w:left="0"/>
        <w:jc w:val="both"/>
        <w:rPr>
          <w:color w:val="000000" w:themeColor="text1"/>
        </w:rPr>
      </w:pPr>
      <w:r w:rsidRPr="0072563C">
        <w:rPr>
          <w:color w:val="000000" w:themeColor="text1"/>
        </w:rPr>
        <w:t>Pannermayr</w:t>
      </w:r>
    </w:p>
    <w:p w14:paraId="71373965" w14:textId="07BA1DC7" w:rsidR="0053513F" w:rsidRDefault="0053513F" w:rsidP="0053513F">
      <w:pPr>
        <w:pStyle w:val="Listenabsatz"/>
        <w:spacing w:before="0" w:after="0" w:line="276" w:lineRule="auto"/>
        <w:ind w:left="0"/>
        <w:jc w:val="both"/>
        <w:rPr>
          <w:color w:val="000000" w:themeColor="text1"/>
        </w:rPr>
      </w:pPr>
      <w:r w:rsidRPr="0072563C">
        <w:rPr>
          <w:color w:val="000000" w:themeColor="text1"/>
        </w:rPr>
        <w:t>Oberbürgermeister</w:t>
      </w:r>
    </w:p>
    <w:p w14:paraId="0A151883" w14:textId="3AAEFEA5" w:rsidR="00C10379" w:rsidRDefault="00C10379" w:rsidP="0053513F">
      <w:pPr>
        <w:pStyle w:val="Listenabsatz"/>
        <w:spacing w:before="0" w:after="0" w:line="276" w:lineRule="auto"/>
        <w:ind w:left="0"/>
        <w:jc w:val="both"/>
        <w:rPr>
          <w:color w:val="000000" w:themeColor="text1"/>
        </w:rPr>
      </w:pPr>
    </w:p>
    <w:p w14:paraId="666BD7FB" w14:textId="6B858CA8" w:rsidR="00C10379" w:rsidRDefault="00C10379" w:rsidP="0053513F">
      <w:pPr>
        <w:pStyle w:val="Listenabsatz"/>
        <w:spacing w:before="0" w:after="0" w:line="276" w:lineRule="auto"/>
        <w:ind w:left="0"/>
        <w:jc w:val="both"/>
        <w:rPr>
          <w:color w:val="000000" w:themeColor="text1"/>
        </w:rPr>
      </w:pPr>
    </w:p>
    <w:sectPr w:rsidR="00C10379">
      <w:headerReference w:type="even" r:id="rId10"/>
      <w:headerReference w:type="default" r:id="rId11"/>
      <w:headerReference w:type="first" r:id="rId12"/>
      <w:pgSz w:w="11906" w:h="16838" w:code="9"/>
      <w:pgMar w:top="397" w:right="1134" w:bottom="851" w:left="1418" w:header="397" w:footer="567" w:gutter="0"/>
      <w:paperSrc w:first="15" w:other="1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3E5F" w14:textId="77777777" w:rsidR="002F29E4" w:rsidRDefault="002F29E4">
      <w:r>
        <w:separator/>
      </w:r>
    </w:p>
  </w:endnote>
  <w:endnote w:type="continuationSeparator" w:id="0">
    <w:p w14:paraId="3B6BA54E" w14:textId="77777777" w:rsidR="002F29E4" w:rsidRDefault="002F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4AA6" w14:textId="77777777" w:rsidR="002F29E4" w:rsidRDefault="002F29E4">
      <w:r>
        <w:separator/>
      </w:r>
    </w:p>
  </w:footnote>
  <w:footnote w:type="continuationSeparator" w:id="0">
    <w:p w14:paraId="28332A47" w14:textId="77777777" w:rsidR="002F29E4" w:rsidRDefault="002F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DBB2" w14:textId="77777777" w:rsidR="004B691A" w:rsidRDefault="004B69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535DBB3" w14:textId="77777777" w:rsidR="004B691A" w:rsidRDefault="004B69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DBB4" w14:textId="2E2C045C" w:rsidR="004B691A" w:rsidRDefault="004B69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23371">
      <w:rPr>
        <w:rStyle w:val="Seitenzahl"/>
        <w:noProof/>
      </w:rPr>
      <w:t>2</w:t>
    </w:r>
    <w:r>
      <w:rPr>
        <w:rStyle w:val="Seitenzahl"/>
      </w:rPr>
      <w:fldChar w:fldCharType="end"/>
    </w:r>
  </w:p>
  <w:p w14:paraId="0535DBB5" w14:textId="77777777" w:rsidR="004B691A" w:rsidRDefault="004B691A">
    <w:pPr>
      <w:pStyle w:val="Kopfzeile"/>
      <w:jc w:val="center"/>
    </w:pPr>
    <w:r>
      <w:t>-   -</w:t>
    </w:r>
  </w:p>
  <w:p w14:paraId="0535DBB6" w14:textId="77777777" w:rsidR="004B691A" w:rsidRDefault="004B691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Layout w:type="fixed"/>
      <w:tblCellMar>
        <w:left w:w="0" w:type="dxa"/>
        <w:right w:w="0" w:type="dxa"/>
      </w:tblCellMar>
      <w:tblLook w:val="0000" w:firstRow="0" w:lastRow="0" w:firstColumn="0" w:lastColumn="0" w:noHBand="0" w:noVBand="0"/>
    </w:tblPr>
    <w:tblGrid>
      <w:gridCol w:w="1424"/>
      <w:gridCol w:w="2006"/>
      <w:gridCol w:w="4843"/>
      <w:gridCol w:w="1988"/>
    </w:tblGrid>
    <w:tr w:rsidR="00107923" w14:paraId="0535DBBD" w14:textId="77777777">
      <w:trPr>
        <w:trHeight w:val="510"/>
      </w:trPr>
      <w:tc>
        <w:tcPr>
          <w:tcW w:w="1424" w:type="dxa"/>
          <w:vMerge w:val="restart"/>
        </w:tcPr>
        <w:p w14:paraId="0535DBB9" w14:textId="77777777" w:rsidR="00107923" w:rsidRDefault="00107923" w:rsidP="00107923">
          <w:pPr>
            <w:pStyle w:val="Kopfzeile"/>
            <w:tabs>
              <w:tab w:val="clear" w:pos="9072"/>
            </w:tabs>
            <w:spacing w:line="240" w:lineRule="auto"/>
            <w:rPr>
              <w:rFonts w:cs="Arial"/>
              <w:kern w:val="28"/>
              <w:sz w:val="32"/>
            </w:rPr>
          </w:pPr>
        </w:p>
      </w:tc>
      <w:tc>
        <w:tcPr>
          <w:tcW w:w="2006" w:type="dxa"/>
        </w:tcPr>
        <w:p w14:paraId="0535DBBA" w14:textId="799E2B23" w:rsidR="00107923" w:rsidRDefault="00107923" w:rsidP="00107923">
          <w:pPr>
            <w:pStyle w:val="Kopfzeile"/>
            <w:ind w:left="113"/>
            <w:rPr>
              <w:rStyle w:val="EntwurfZeichen"/>
              <w:sz w:val="32"/>
              <w:szCs w:val="32"/>
            </w:rPr>
          </w:pPr>
        </w:p>
      </w:tc>
      <w:tc>
        <w:tcPr>
          <w:tcW w:w="4843" w:type="dxa"/>
          <w:vMerge w:val="restart"/>
        </w:tcPr>
        <w:p w14:paraId="0535DBBB" w14:textId="31613795" w:rsidR="00107923" w:rsidRDefault="00107923" w:rsidP="00107923">
          <w:pPr>
            <w:pStyle w:val="Kopfzeile"/>
            <w:tabs>
              <w:tab w:val="left" w:pos="708"/>
            </w:tabs>
            <w:spacing w:before="360" w:after="240" w:line="240" w:lineRule="auto"/>
            <w:jc w:val="right"/>
            <w:rPr>
              <w:rStyle w:val="EntwurfZeichen"/>
              <w:sz w:val="32"/>
              <w:szCs w:val="32"/>
            </w:rPr>
          </w:pPr>
        </w:p>
      </w:tc>
      <w:tc>
        <w:tcPr>
          <w:tcW w:w="1988" w:type="dxa"/>
          <w:vMerge w:val="restart"/>
        </w:tcPr>
        <w:p w14:paraId="0535DBBC" w14:textId="293A7832" w:rsidR="00107923" w:rsidRDefault="00107923" w:rsidP="00107923">
          <w:pPr>
            <w:pStyle w:val="Kopfzeile"/>
            <w:spacing w:before="80" w:line="240" w:lineRule="auto"/>
            <w:ind w:left="227"/>
            <w:rPr>
              <w:rFonts w:cs="Arial"/>
              <w:sz w:val="32"/>
            </w:rPr>
          </w:pPr>
        </w:p>
      </w:tc>
    </w:tr>
    <w:tr w:rsidR="00107923" w14:paraId="0535DBC2" w14:textId="77777777">
      <w:trPr>
        <w:trHeight w:val="510"/>
      </w:trPr>
      <w:tc>
        <w:tcPr>
          <w:tcW w:w="1424" w:type="dxa"/>
          <w:vMerge/>
        </w:tcPr>
        <w:p w14:paraId="0535DBBE" w14:textId="77777777" w:rsidR="00107923" w:rsidRDefault="00107923" w:rsidP="00107923">
          <w:pPr>
            <w:widowControl/>
            <w:spacing w:line="240" w:lineRule="auto"/>
            <w:rPr>
              <w:rFonts w:cs="Arial"/>
              <w:sz w:val="32"/>
            </w:rPr>
          </w:pPr>
        </w:p>
      </w:tc>
      <w:tc>
        <w:tcPr>
          <w:tcW w:w="2006" w:type="dxa"/>
        </w:tcPr>
        <w:p w14:paraId="0535DBBF" w14:textId="166E58E9" w:rsidR="00107923" w:rsidRDefault="00107923" w:rsidP="00107923">
          <w:pPr>
            <w:pStyle w:val="Kopfzeile"/>
            <w:tabs>
              <w:tab w:val="left" w:pos="708"/>
            </w:tabs>
            <w:ind w:left="113"/>
            <w:rPr>
              <w:rStyle w:val="EntwurfZeichen"/>
              <w:sz w:val="32"/>
              <w:szCs w:val="32"/>
            </w:rPr>
          </w:pPr>
        </w:p>
      </w:tc>
      <w:tc>
        <w:tcPr>
          <w:tcW w:w="4843" w:type="dxa"/>
          <w:vMerge/>
        </w:tcPr>
        <w:p w14:paraId="0535DBC0" w14:textId="77777777" w:rsidR="00107923" w:rsidRDefault="00107923" w:rsidP="00107923">
          <w:pPr>
            <w:widowControl/>
            <w:spacing w:line="240" w:lineRule="auto"/>
            <w:rPr>
              <w:rStyle w:val="EntwurfZeichen"/>
              <w:sz w:val="32"/>
              <w:szCs w:val="32"/>
            </w:rPr>
          </w:pPr>
        </w:p>
      </w:tc>
      <w:tc>
        <w:tcPr>
          <w:tcW w:w="1988" w:type="dxa"/>
          <w:vMerge/>
        </w:tcPr>
        <w:p w14:paraId="0535DBC1" w14:textId="77777777" w:rsidR="00107923" w:rsidRDefault="00107923" w:rsidP="00107923">
          <w:pPr>
            <w:widowControl/>
            <w:spacing w:line="240" w:lineRule="auto"/>
            <w:rPr>
              <w:rStyle w:val="EntwurfZeichen"/>
              <w:sz w:val="32"/>
              <w:szCs w:val="32"/>
            </w:rPr>
          </w:pPr>
        </w:p>
      </w:tc>
    </w:tr>
  </w:tbl>
  <w:p w14:paraId="0535DBC6" w14:textId="77777777" w:rsidR="004B691A" w:rsidRDefault="004B691A">
    <w:pPr>
      <w:spacing w:line="240" w:lineRule="auto"/>
      <w:rPr>
        <w:rStyle w:val="LFUSchm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B5B"/>
    <w:multiLevelType w:val="hybridMultilevel"/>
    <w:tmpl w:val="4BF0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E7DFE"/>
    <w:multiLevelType w:val="hybridMultilevel"/>
    <w:tmpl w:val="5C9680E6"/>
    <w:lvl w:ilvl="0" w:tplc="640A2D12">
      <w:start w:val="1"/>
      <w:numFmt w:val="bullet"/>
      <w:pStyle w:val="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14DD2"/>
    <w:multiLevelType w:val="multilevel"/>
    <w:tmpl w:val="E65C17D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C21735E"/>
    <w:multiLevelType w:val="hybridMultilevel"/>
    <w:tmpl w:val="7AB61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1A7387"/>
    <w:multiLevelType w:val="hybridMultilevel"/>
    <w:tmpl w:val="5D3AF7CE"/>
    <w:lvl w:ilvl="0" w:tplc="82044EC4">
      <w:start w:val="1"/>
      <w:numFmt w:val="lowerLetter"/>
      <w:pStyle w:val="TextNuma"/>
      <w:lvlText w:val="%1."/>
      <w:lvlJc w:val="left"/>
      <w:pPr>
        <w:tabs>
          <w:tab w:val="num" w:pos="1080"/>
        </w:tabs>
        <w:ind w:left="107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2593E21"/>
    <w:multiLevelType w:val="hybridMultilevel"/>
    <w:tmpl w:val="0D34C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B80DF1"/>
    <w:multiLevelType w:val="hybridMultilevel"/>
    <w:tmpl w:val="4BF0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A1103C"/>
    <w:multiLevelType w:val="hybridMultilevel"/>
    <w:tmpl w:val="7B18BC1A"/>
    <w:lvl w:ilvl="0" w:tplc="0407000F">
      <w:start w:val="1"/>
      <w:numFmt w:val="decimal"/>
      <w:lvlText w:val="%1."/>
      <w:lvlJc w:val="left"/>
      <w:pPr>
        <w:ind w:left="720" w:hanging="360"/>
      </w:pPr>
    </w:lvl>
    <w:lvl w:ilvl="1" w:tplc="CF7C3DAE">
      <w:start w:val="1"/>
      <w:numFmt w:val="lowerLetter"/>
      <w:lvlText w:val="%2)"/>
      <w:lvlJc w:val="left"/>
      <w:pPr>
        <w:ind w:left="1440" w:hanging="360"/>
      </w:pPr>
      <w:rPr>
        <w:rFonts w:cs="Times New Roman" w:hint="default"/>
        <w:bCs w:val="0"/>
        <w:i w:val="0"/>
        <w:iCs w:val="0"/>
        <w: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1164A5"/>
    <w:multiLevelType w:val="hybridMultilevel"/>
    <w:tmpl w:val="5C26B5A0"/>
    <w:lvl w:ilvl="0" w:tplc="8F2048BC">
      <w:start w:val="1"/>
      <w:numFmt w:val="decimal"/>
      <w:pStyle w:val="TextNum"/>
      <w:lvlText w:val="%1."/>
      <w:lvlJc w:val="left"/>
      <w:pPr>
        <w:tabs>
          <w:tab w:val="num" w:pos="720"/>
        </w:tabs>
        <w:ind w:left="72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2DD0949"/>
    <w:multiLevelType w:val="hybridMultilevel"/>
    <w:tmpl w:val="4C62BA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D77F60"/>
    <w:multiLevelType w:val="hybridMultilevel"/>
    <w:tmpl w:val="7B18BC1A"/>
    <w:lvl w:ilvl="0" w:tplc="0407000F">
      <w:start w:val="1"/>
      <w:numFmt w:val="decimal"/>
      <w:lvlText w:val="%1."/>
      <w:lvlJc w:val="left"/>
      <w:pPr>
        <w:ind w:left="720" w:hanging="360"/>
      </w:pPr>
    </w:lvl>
    <w:lvl w:ilvl="1" w:tplc="CF7C3DAE">
      <w:start w:val="1"/>
      <w:numFmt w:val="lowerLetter"/>
      <w:lvlText w:val="%2)"/>
      <w:lvlJc w:val="left"/>
      <w:pPr>
        <w:ind w:left="1440" w:hanging="360"/>
      </w:pPr>
      <w:rPr>
        <w:rFonts w:cs="Times New Roman" w:hint="default"/>
        <w:bCs w:val="0"/>
        <w:i w:val="0"/>
        <w:iCs w:val="0"/>
        <w: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3A1827"/>
    <w:multiLevelType w:val="hybridMultilevel"/>
    <w:tmpl w:val="0D34C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66321D"/>
    <w:multiLevelType w:val="hybridMultilevel"/>
    <w:tmpl w:val="7B18BC1A"/>
    <w:lvl w:ilvl="0" w:tplc="0407000F">
      <w:start w:val="1"/>
      <w:numFmt w:val="decimal"/>
      <w:lvlText w:val="%1."/>
      <w:lvlJc w:val="left"/>
      <w:pPr>
        <w:ind w:left="720" w:hanging="360"/>
      </w:pPr>
    </w:lvl>
    <w:lvl w:ilvl="1" w:tplc="CF7C3DAE">
      <w:start w:val="1"/>
      <w:numFmt w:val="lowerLetter"/>
      <w:lvlText w:val="%2)"/>
      <w:lvlJc w:val="left"/>
      <w:pPr>
        <w:ind w:left="1440" w:hanging="360"/>
      </w:pPr>
      <w:rPr>
        <w:rFonts w:cs="Times New Roman" w:hint="default"/>
        <w:bCs w:val="0"/>
        <w:i w:val="0"/>
        <w:iCs w:val="0"/>
        <w: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733693"/>
    <w:multiLevelType w:val="hybridMultilevel"/>
    <w:tmpl w:val="E73EBF0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BB759A"/>
    <w:multiLevelType w:val="hybridMultilevel"/>
    <w:tmpl w:val="B830A8EC"/>
    <w:lvl w:ilvl="0" w:tplc="3912EA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57E6E"/>
    <w:multiLevelType w:val="multilevel"/>
    <w:tmpl w:val="69BE3228"/>
    <w:lvl w:ilvl="0">
      <w:start w:val="1"/>
      <w:numFmt w:val="decimal"/>
      <w:pStyle w:val="berschrift1"/>
      <w:lvlText w:val="%1"/>
      <w:lvlJc w:val="left"/>
      <w:pPr>
        <w:tabs>
          <w:tab w:val="num" w:pos="794"/>
        </w:tabs>
        <w:ind w:left="794" w:hanging="794"/>
      </w:pPr>
      <w:rPr>
        <w:rFonts w:hint="default"/>
      </w:rPr>
    </w:lvl>
    <w:lvl w:ilvl="1">
      <w:start w:val="1"/>
      <w:numFmt w:val="decimal"/>
      <w:pStyle w:val="berschrift2"/>
      <w:lvlText w:val="%1.%2"/>
      <w:lvlJc w:val="left"/>
      <w:pPr>
        <w:tabs>
          <w:tab w:val="num" w:pos="792"/>
        </w:tabs>
        <w:ind w:left="792" w:hanging="792"/>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794"/>
        </w:tabs>
        <w:ind w:left="794" w:hanging="79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DC36B2F"/>
    <w:multiLevelType w:val="hybridMultilevel"/>
    <w:tmpl w:val="035EA2EA"/>
    <w:lvl w:ilvl="0" w:tplc="970C4850">
      <w:start w:val="1"/>
      <w:numFmt w:val="bullet"/>
      <w:pStyle w:val="TextAufzhl"/>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2"/>
  </w:num>
  <w:num w:numId="12">
    <w:abstractNumId w:val="16"/>
  </w:num>
  <w:num w:numId="13">
    <w:abstractNumId w:val="8"/>
  </w:num>
  <w:num w:numId="14">
    <w:abstractNumId w:val="4"/>
  </w:num>
  <w:num w:numId="15">
    <w:abstractNumId w:val="9"/>
  </w:num>
  <w:num w:numId="16">
    <w:abstractNumId w:val="6"/>
  </w:num>
  <w:num w:numId="17">
    <w:abstractNumId w:val="13"/>
  </w:num>
  <w:num w:numId="18">
    <w:abstractNumId w:val="11"/>
  </w:num>
  <w:num w:numId="19">
    <w:abstractNumId w:val="0"/>
  </w:num>
  <w:num w:numId="20">
    <w:abstractNumId w:val="5"/>
  </w:num>
  <w:num w:numId="21">
    <w:abstractNumId w:val="3"/>
  </w:num>
  <w:num w:numId="22">
    <w:abstractNumId w:val="12"/>
  </w:num>
  <w:num w:numId="23">
    <w:abstractNumId w:val="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Autor" w:val="stmugv-51b"/>
    <w:docVar w:name="VisFieldsDocOptions" w:val="1"/>
    <w:docVar w:name="VisFieldsUpdateState" w:val="1"/>
    <w:docVar w:name="VISKOMPAKT30_FIRSTTOUCH" w:val="YES"/>
    <w:docVar w:name="VisNew" w:val="False"/>
    <w:docVar w:name="VisSync" w:val="0"/>
  </w:docVars>
  <w:rsids>
    <w:rsidRoot w:val="003270A9"/>
    <w:rsid w:val="00030C73"/>
    <w:rsid w:val="00036502"/>
    <w:rsid w:val="00046DD7"/>
    <w:rsid w:val="00065AEF"/>
    <w:rsid w:val="00070216"/>
    <w:rsid w:val="00072ECD"/>
    <w:rsid w:val="00076959"/>
    <w:rsid w:val="0007757A"/>
    <w:rsid w:val="000856BE"/>
    <w:rsid w:val="000B0389"/>
    <w:rsid w:val="000B5206"/>
    <w:rsid w:val="00105703"/>
    <w:rsid w:val="00107923"/>
    <w:rsid w:val="00121265"/>
    <w:rsid w:val="00124BF7"/>
    <w:rsid w:val="001523CB"/>
    <w:rsid w:val="00154A57"/>
    <w:rsid w:val="0015618D"/>
    <w:rsid w:val="00191549"/>
    <w:rsid w:val="001979E2"/>
    <w:rsid w:val="001C6427"/>
    <w:rsid w:val="001C6802"/>
    <w:rsid w:val="00264A15"/>
    <w:rsid w:val="0027220D"/>
    <w:rsid w:val="00287F28"/>
    <w:rsid w:val="0029674D"/>
    <w:rsid w:val="002A10BE"/>
    <w:rsid w:val="002B3D25"/>
    <w:rsid w:val="002C0DAD"/>
    <w:rsid w:val="002D322A"/>
    <w:rsid w:val="002F29E4"/>
    <w:rsid w:val="003270A9"/>
    <w:rsid w:val="00372422"/>
    <w:rsid w:val="00372B1A"/>
    <w:rsid w:val="00393D22"/>
    <w:rsid w:val="00396152"/>
    <w:rsid w:val="003B175D"/>
    <w:rsid w:val="003E1E6D"/>
    <w:rsid w:val="00405450"/>
    <w:rsid w:val="00417F2E"/>
    <w:rsid w:val="00434C6A"/>
    <w:rsid w:val="00460A38"/>
    <w:rsid w:val="00477E50"/>
    <w:rsid w:val="004918A4"/>
    <w:rsid w:val="004B4602"/>
    <w:rsid w:val="004B691A"/>
    <w:rsid w:val="004C3368"/>
    <w:rsid w:val="004D48F1"/>
    <w:rsid w:val="005237D1"/>
    <w:rsid w:val="0052430B"/>
    <w:rsid w:val="0053513F"/>
    <w:rsid w:val="00593285"/>
    <w:rsid w:val="005A2613"/>
    <w:rsid w:val="005B3D0A"/>
    <w:rsid w:val="005D65FC"/>
    <w:rsid w:val="005D7ADB"/>
    <w:rsid w:val="005E6B60"/>
    <w:rsid w:val="006003F4"/>
    <w:rsid w:val="00600FF6"/>
    <w:rsid w:val="00612663"/>
    <w:rsid w:val="00642CDF"/>
    <w:rsid w:val="00647310"/>
    <w:rsid w:val="00652F3D"/>
    <w:rsid w:val="00674681"/>
    <w:rsid w:val="006A1D27"/>
    <w:rsid w:val="006A5AF5"/>
    <w:rsid w:val="006A7320"/>
    <w:rsid w:val="006E71CC"/>
    <w:rsid w:val="00705507"/>
    <w:rsid w:val="0072563C"/>
    <w:rsid w:val="00742A41"/>
    <w:rsid w:val="00751BE4"/>
    <w:rsid w:val="007651BB"/>
    <w:rsid w:val="007A60C3"/>
    <w:rsid w:val="007C65EF"/>
    <w:rsid w:val="007D69E2"/>
    <w:rsid w:val="007E6E6E"/>
    <w:rsid w:val="007F39BB"/>
    <w:rsid w:val="00803C08"/>
    <w:rsid w:val="00814A22"/>
    <w:rsid w:val="0081769D"/>
    <w:rsid w:val="008254DA"/>
    <w:rsid w:val="00840FA9"/>
    <w:rsid w:val="008A1B2E"/>
    <w:rsid w:val="008B6853"/>
    <w:rsid w:val="008C13B5"/>
    <w:rsid w:val="008D18D9"/>
    <w:rsid w:val="008D34C2"/>
    <w:rsid w:val="008D477C"/>
    <w:rsid w:val="0094263E"/>
    <w:rsid w:val="00942B23"/>
    <w:rsid w:val="00953D4C"/>
    <w:rsid w:val="0095670F"/>
    <w:rsid w:val="00961863"/>
    <w:rsid w:val="00965CDE"/>
    <w:rsid w:val="009760E6"/>
    <w:rsid w:val="00977C55"/>
    <w:rsid w:val="009A51D0"/>
    <w:rsid w:val="009C4ECD"/>
    <w:rsid w:val="009D58A2"/>
    <w:rsid w:val="009E65D6"/>
    <w:rsid w:val="00A23371"/>
    <w:rsid w:val="00A2468C"/>
    <w:rsid w:val="00A351C8"/>
    <w:rsid w:val="00A76F44"/>
    <w:rsid w:val="00A82258"/>
    <w:rsid w:val="00A86078"/>
    <w:rsid w:val="00A9287B"/>
    <w:rsid w:val="00AC2D7C"/>
    <w:rsid w:val="00AF0A5E"/>
    <w:rsid w:val="00B07DF1"/>
    <w:rsid w:val="00B140FE"/>
    <w:rsid w:val="00B53068"/>
    <w:rsid w:val="00B604E2"/>
    <w:rsid w:val="00BA78E7"/>
    <w:rsid w:val="00BD6200"/>
    <w:rsid w:val="00C10379"/>
    <w:rsid w:val="00C50EA5"/>
    <w:rsid w:val="00C5257A"/>
    <w:rsid w:val="00C55A79"/>
    <w:rsid w:val="00C82A84"/>
    <w:rsid w:val="00CB14D3"/>
    <w:rsid w:val="00CC612E"/>
    <w:rsid w:val="00CD5B1A"/>
    <w:rsid w:val="00D05440"/>
    <w:rsid w:val="00D278FA"/>
    <w:rsid w:val="00D363FC"/>
    <w:rsid w:val="00D370B9"/>
    <w:rsid w:val="00D417D8"/>
    <w:rsid w:val="00D851A0"/>
    <w:rsid w:val="00D860F0"/>
    <w:rsid w:val="00D959A0"/>
    <w:rsid w:val="00DB1546"/>
    <w:rsid w:val="00DB1F5E"/>
    <w:rsid w:val="00DE0146"/>
    <w:rsid w:val="00DE719E"/>
    <w:rsid w:val="00E07422"/>
    <w:rsid w:val="00E16B33"/>
    <w:rsid w:val="00E33490"/>
    <w:rsid w:val="00E43EC4"/>
    <w:rsid w:val="00E54C92"/>
    <w:rsid w:val="00E77A69"/>
    <w:rsid w:val="00EE5DDC"/>
    <w:rsid w:val="00F1253B"/>
    <w:rsid w:val="00F23988"/>
    <w:rsid w:val="00F35A26"/>
    <w:rsid w:val="00F44B49"/>
    <w:rsid w:val="00F51972"/>
    <w:rsid w:val="00FA4229"/>
    <w:rsid w:val="00FB629A"/>
    <w:rsid w:val="00FE1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35DBAB"/>
  <w15:docId w15:val="{FB7F0AA7-CD97-4009-A3B0-D67EA992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312" w:lineRule="auto"/>
    </w:pPr>
    <w:rPr>
      <w:rFonts w:ascii="Arial" w:hAnsi="Arial"/>
      <w:sz w:val="22"/>
      <w:szCs w:val="24"/>
    </w:rPr>
  </w:style>
  <w:style w:type="paragraph" w:styleId="berschrift1">
    <w:name w:val="heading 1"/>
    <w:basedOn w:val="Standard"/>
    <w:qFormat/>
    <w:pPr>
      <w:keepNext/>
      <w:widowControl/>
      <w:numPr>
        <w:numId w:val="10"/>
      </w:numPr>
      <w:spacing w:before="240" w:after="60" w:line="240" w:lineRule="auto"/>
      <w:outlineLvl w:val="0"/>
    </w:pPr>
    <w:rPr>
      <w:rFonts w:cs="Arial"/>
      <w:kern w:val="28"/>
      <w:szCs w:val="22"/>
    </w:rPr>
  </w:style>
  <w:style w:type="paragraph" w:styleId="berschrift2">
    <w:name w:val="heading 2"/>
    <w:basedOn w:val="berschrift1"/>
    <w:qFormat/>
    <w:pPr>
      <w:numPr>
        <w:ilvl w:val="1"/>
      </w:numPr>
      <w:outlineLvl w:val="1"/>
    </w:pPr>
  </w:style>
  <w:style w:type="paragraph" w:styleId="berschrift3">
    <w:name w:val="heading 3"/>
    <w:basedOn w:val="berschrift2"/>
    <w:qFormat/>
    <w:pPr>
      <w:numPr>
        <w:ilvl w:val="2"/>
      </w:numPr>
      <w:outlineLvl w:val="2"/>
    </w:pPr>
  </w:style>
  <w:style w:type="paragraph" w:styleId="berschrift4">
    <w:name w:val="heading 4"/>
    <w:basedOn w:val="berschrift3"/>
    <w:qFormat/>
    <w:pPr>
      <w:numPr>
        <w:ilvl w:val="3"/>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after="120" w:line="240" w:lineRule="auto"/>
    </w:pPr>
  </w:style>
  <w:style w:type="paragraph" w:styleId="Kopfzeile">
    <w:name w:val="header"/>
    <w:basedOn w:val="Standard"/>
    <w:link w:val="KopfzeileZchn1"/>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EntwurfZeichen">
    <w:name w:val="Entwurf_Zeichen"/>
    <w:rPr>
      <w:vanish w:val="0"/>
      <w:sz w:val="40"/>
      <w:szCs w:val="40"/>
    </w:rPr>
  </w:style>
  <w:style w:type="character" w:styleId="Seitenzahl">
    <w:name w:val="page number"/>
    <w:basedOn w:val="Absatz-Standardschriftart"/>
  </w:style>
  <w:style w:type="paragraph" w:customStyle="1" w:styleId="Aufzhlung">
    <w:name w:val="Aufzählung"/>
    <w:basedOn w:val="Standard"/>
    <w:qFormat/>
    <w:pPr>
      <w:numPr>
        <w:numId w:val="1"/>
      </w:numPr>
    </w:pPr>
  </w:style>
  <w:style w:type="paragraph" w:customStyle="1" w:styleId="Betreff">
    <w:name w:val="Betreff"/>
    <w:basedOn w:val="Standard"/>
    <w:next w:val="Textkrper"/>
    <w:qFormat/>
    <w:rPr>
      <w:b/>
    </w:rPr>
  </w:style>
  <w:style w:type="paragraph" w:customStyle="1" w:styleId="FormatvorlageTextkrperVor12pt">
    <w:name w:val="Formatvorlage Textkörper + Vor:  12 pt"/>
    <w:basedOn w:val="Textkrper"/>
    <w:next w:val="Textkrper"/>
    <w:pPr>
      <w:spacing w:before="240"/>
    </w:pPr>
    <w:rPr>
      <w:szCs w:val="20"/>
    </w:rPr>
  </w:style>
  <w:style w:type="character" w:styleId="BesuchterLink">
    <w:name w:val="FollowedHyperlink"/>
    <w:rPr>
      <w:color w:val="800080"/>
      <w:u w:val="single"/>
    </w:rPr>
  </w:style>
  <w:style w:type="table" w:styleId="Tabellenraster">
    <w:name w:val="Table Grid"/>
    <w:basedOn w:val="NormaleTabelle"/>
    <w:pPr>
      <w:widowControl w:val="0"/>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LfU-Kopf">
    <w:name w:val="LfU-Kopf"/>
    <w:basedOn w:val="Kopfzeile"/>
    <w:pPr>
      <w:framePr w:hSpace="142" w:wrap="around" w:vAnchor="page" w:hAnchor="margin" w:y="749"/>
      <w:spacing w:before="440" w:line="240" w:lineRule="auto"/>
      <w:jc w:val="right"/>
    </w:pPr>
    <w:rPr>
      <w:sz w:val="34"/>
    </w:rPr>
  </w:style>
  <w:style w:type="character" w:customStyle="1" w:styleId="LFUSchmal">
    <w:name w:val="LFU_Schmal"/>
    <w:rPr>
      <w:rFonts w:ascii="Arial Narrow" w:hAnsi="Arial Narrow" w:cs="Arial"/>
      <w:sz w:val="16"/>
      <w:szCs w:val="16"/>
    </w:rPr>
  </w:style>
  <w:style w:type="character" w:customStyle="1" w:styleId="EntwurfGGV">
    <w:name w:val="Entwurf_GGV"/>
    <w:rPr>
      <w:rFonts w:ascii="Arial" w:hAnsi="Arial"/>
      <w:dstrike w:val="0"/>
      <w:vanish w:val="0"/>
      <w:sz w:val="18"/>
      <w:vertAlign w:val="baseline"/>
    </w:rPr>
  </w:style>
  <w:style w:type="character" w:customStyle="1" w:styleId="ReinschriftDatum">
    <w:name w:val="Reinschrift_Datum"/>
    <w:rPr>
      <w:rFonts w:ascii="Arial Narrow" w:hAnsi="Arial Narrow"/>
      <w:bCs/>
      <w:vanish/>
      <w:sz w:val="16"/>
      <w:szCs w:val="20"/>
    </w:rPr>
  </w:style>
  <w:style w:type="character" w:customStyle="1" w:styleId="KopfzeileZchn1">
    <w:name w:val="Kopfzeile Zchn1"/>
    <w:link w:val="Kopfzeile"/>
    <w:rPr>
      <w:rFonts w:ascii="Arial" w:hAnsi="Arial"/>
      <w:sz w:val="22"/>
      <w:szCs w:val="24"/>
    </w:rPr>
  </w:style>
  <w:style w:type="character" w:customStyle="1" w:styleId="EntwurfDatum">
    <w:name w:val="Entwurf_Datum"/>
    <w:rPr>
      <w:rFonts w:ascii="Arial Narrow" w:hAnsi="Arial Narrow"/>
      <w:bCs/>
      <w:vanish w:val="0"/>
      <w:sz w:val="16"/>
      <w:szCs w:val="20"/>
    </w:rPr>
  </w:style>
  <w:style w:type="character" w:customStyle="1" w:styleId="BZeile">
    <w:name w:val="B_Zeile"/>
    <w:rPr>
      <w:rFonts w:ascii="Arial Narrow" w:hAnsi="Arial Narrow"/>
      <w:sz w:val="16"/>
      <w:szCs w:val="20"/>
    </w:rPr>
  </w:style>
  <w:style w:type="character" w:customStyle="1" w:styleId="Abdruck">
    <w:name w:val="Abdruck"/>
    <w:rPr>
      <w:rFonts w:ascii="Arial" w:hAnsi="Arial"/>
      <w:sz w:val="18"/>
    </w:rPr>
  </w:style>
  <w:style w:type="paragraph" w:customStyle="1" w:styleId="TextAufzhl">
    <w:name w:val="Text_Aufzähl"/>
    <w:basedOn w:val="Standard"/>
    <w:pPr>
      <w:widowControl/>
      <w:numPr>
        <w:numId w:val="12"/>
      </w:numPr>
    </w:pPr>
    <w:rPr>
      <w:rFonts w:ascii="Arial (W1)" w:hAnsi="Arial (W1)"/>
    </w:rPr>
  </w:style>
  <w:style w:type="paragraph" w:customStyle="1" w:styleId="TextEinzug">
    <w:name w:val="Text_Einzug"/>
    <w:basedOn w:val="Standard"/>
    <w:pPr>
      <w:widowControl/>
      <w:ind w:left="567"/>
    </w:pPr>
    <w:rPr>
      <w:rFonts w:ascii="Arial (W1)" w:hAnsi="Arial (W1)"/>
    </w:rPr>
  </w:style>
  <w:style w:type="paragraph" w:customStyle="1" w:styleId="TextNum">
    <w:name w:val="Text_Num"/>
    <w:basedOn w:val="Standard"/>
    <w:pPr>
      <w:widowControl/>
      <w:numPr>
        <w:numId w:val="13"/>
      </w:numPr>
      <w:spacing w:before="240"/>
    </w:pPr>
    <w:rPr>
      <w:rFonts w:ascii="Arial (W1)" w:hAnsi="Arial (W1)"/>
    </w:rPr>
  </w:style>
  <w:style w:type="paragraph" w:customStyle="1" w:styleId="TextNuma">
    <w:name w:val="Text_Num_a"/>
    <w:basedOn w:val="Standard"/>
    <w:pPr>
      <w:widowControl/>
      <w:numPr>
        <w:numId w:val="14"/>
      </w:numPr>
    </w:pPr>
    <w:rPr>
      <w:rFonts w:ascii="Arial (W1)" w:hAnsi="Arial (W1)"/>
    </w:rPr>
  </w:style>
  <w:style w:type="paragraph" w:customStyle="1" w:styleId="Textzentrunter">
    <w:name w:val="Text_zentr_unter"/>
    <w:basedOn w:val="Standard"/>
    <w:next w:val="Standard"/>
    <w:pPr>
      <w:widowControl/>
      <w:spacing w:before="480" w:after="480"/>
      <w:jc w:val="center"/>
    </w:pPr>
    <w:rPr>
      <w:rFonts w:ascii="Arial (W1)" w:hAnsi="Arial (W1)"/>
      <w:u w:val="single"/>
    </w:rPr>
  </w:style>
  <w:style w:type="character" w:customStyle="1" w:styleId="KopfzeileZchn">
    <w:name w:val="Kopfzeile Zchn"/>
    <w:locked/>
    <w:rPr>
      <w:rFonts w:ascii="Arial" w:hAnsi="Arial"/>
      <w:sz w:val="22"/>
      <w:szCs w:val="24"/>
      <w:lang w:bidi="ar-SA"/>
    </w:rPr>
  </w:style>
  <w:style w:type="character" w:styleId="Kommentarzeichen">
    <w:name w:val="annotation reference"/>
    <w:uiPriority w:val="99"/>
    <w:semiHidden/>
    <w:rsid w:val="00942B23"/>
    <w:rPr>
      <w:rFonts w:cs="Times New Roman"/>
      <w:sz w:val="16"/>
      <w:szCs w:val="16"/>
    </w:rPr>
  </w:style>
  <w:style w:type="paragraph" w:styleId="Kommentartext">
    <w:name w:val="annotation text"/>
    <w:basedOn w:val="Standard"/>
    <w:link w:val="KommentartextZchn"/>
    <w:uiPriority w:val="99"/>
    <w:semiHidden/>
    <w:rsid w:val="00942B23"/>
    <w:pPr>
      <w:widowControl/>
      <w:spacing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semiHidden/>
    <w:rsid w:val="00942B23"/>
  </w:style>
  <w:style w:type="paragraph" w:styleId="Funotentext">
    <w:name w:val="footnote text"/>
    <w:basedOn w:val="Standard"/>
    <w:link w:val="FunotentextZchn"/>
    <w:uiPriority w:val="99"/>
    <w:semiHidden/>
    <w:unhideWhenUsed/>
    <w:rsid w:val="00CD5B1A"/>
    <w:pPr>
      <w:widowControl/>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CD5B1A"/>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D5B1A"/>
    <w:rPr>
      <w:vertAlign w:val="superscript"/>
    </w:rPr>
  </w:style>
  <w:style w:type="paragraph" w:styleId="Listenabsatz">
    <w:name w:val="List Paragraph"/>
    <w:basedOn w:val="Standard"/>
    <w:uiPriority w:val="34"/>
    <w:qFormat/>
    <w:rsid w:val="00393D22"/>
    <w:pPr>
      <w:widowControl/>
      <w:spacing w:before="100" w:after="100"/>
      <w:ind w:left="720"/>
    </w:pPr>
    <w:rPr>
      <w:rFonts w:eastAsiaTheme="minorHAnsi" w:cstheme="minorBidi"/>
      <w:szCs w:val="22"/>
      <w:lang w:eastAsia="en-US"/>
    </w:rPr>
  </w:style>
  <w:style w:type="paragraph" w:customStyle="1" w:styleId="HinweiseAnmerkungen">
    <w:name w:val="Hinweise / Anmerkungen"/>
    <w:basedOn w:val="Standard"/>
    <w:link w:val="HinweiseAnmerkungenZchn"/>
    <w:qFormat/>
    <w:rsid w:val="00E77A69"/>
    <w:pPr>
      <w:shd w:val="clear" w:color="auto" w:fill="E1E8ED"/>
      <w:spacing w:after="240"/>
    </w:pPr>
    <w:rPr>
      <w:i/>
      <w:color w:val="3B687F"/>
      <w:shd w:val="clear" w:color="auto" w:fill="E1E8ED"/>
    </w:rPr>
  </w:style>
  <w:style w:type="paragraph" w:styleId="Kommentarthema">
    <w:name w:val="annotation subject"/>
    <w:basedOn w:val="Kommentartext"/>
    <w:next w:val="Kommentartext"/>
    <w:link w:val="KommentarthemaZchn"/>
    <w:semiHidden/>
    <w:unhideWhenUsed/>
    <w:rsid w:val="00417F2E"/>
    <w:pPr>
      <w:widowControl w:val="0"/>
    </w:pPr>
    <w:rPr>
      <w:rFonts w:ascii="Arial" w:hAnsi="Arial"/>
      <w:b/>
      <w:bCs/>
    </w:rPr>
  </w:style>
  <w:style w:type="character" w:customStyle="1" w:styleId="HinweiseAnmerkungenZchn">
    <w:name w:val="Hinweise / Anmerkungen Zchn"/>
    <w:basedOn w:val="Absatz-Standardschriftart"/>
    <w:link w:val="HinweiseAnmerkungen"/>
    <w:rsid w:val="00E77A69"/>
    <w:rPr>
      <w:rFonts w:ascii="Arial" w:hAnsi="Arial"/>
      <w:i/>
      <w:color w:val="3B687F"/>
      <w:sz w:val="22"/>
      <w:szCs w:val="24"/>
      <w:shd w:val="clear" w:color="auto" w:fill="E1E8ED"/>
    </w:rPr>
  </w:style>
  <w:style w:type="character" w:customStyle="1" w:styleId="KommentarthemaZchn">
    <w:name w:val="Kommentarthema Zchn"/>
    <w:basedOn w:val="KommentartextZchn"/>
    <w:link w:val="Kommentarthema"/>
    <w:semiHidden/>
    <w:rsid w:val="00417F2E"/>
    <w:rPr>
      <w:rFonts w:ascii="Arial" w:hAnsi="Arial"/>
      <w:b/>
      <w:bCs/>
    </w:rPr>
  </w:style>
  <w:style w:type="paragraph" w:styleId="berarbeitung">
    <w:name w:val="Revision"/>
    <w:hidden/>
    <w:uiPriority w:val="99"/>
    <w:semiHidden/>
    <w:rsid w:val="00417F2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6005">
      <w:marLeft w:val="0"/>
      <w:marRight w:val="0"/>
      <w:marTop w:val="0"/>
      <w:marBottom w:val="0"/>
      <w:divBdr>
        <w:top w:val="none" w:sz="0" w:space="0" w:color="auto"/>
        <w:left w:val="none" w:sz="0" w:space="0" w:color="auto"/>
        <w:bottom w:val="none" w:sz="0" w:space="0" w:color="auto"/>
        <w:right w:val="none" w:sz="0" w:space="0" w:color="auto"/>
      </w:divBdr>
    </w:div>
    <w:div w:id="590621628">
      <w:bodyDiv w:val="1"/>
      <w:marLeft w:val="0"/>
      <w:marRight w:val="0"/>
      <w:marTop w:val="0"/>
      <w:marBottom w:val="0"/>
      <w:divBdr>
        <w:top w:val="none" w:sz="0" w:space="0" w:color="auto"/>
        <w:left w:val="none" w:sz="0" w:space="0" w:color="auto"/>
        <w:bottom w:val="none" w:sz="0" w:space="0" w:color="auto"/>
        <w:right w:val="none" w:sz="0" w:space="0" w:color="auto"/>
      </w:divBdr>
    </w:div>
    <w:div w:id="755636290">
      <w:bodyDiv w:val="1"/>
      <w:marLeft w:val="0"/>
      <w:marRight w:val="0"/>
      <w:marTop w:val="0"/>
      <w:marBottom w:val="0"/>
      <w:divBdr>
        <w:top w:val="none" w:sz="0" w:space="0" w:color="auto"/>
        <w:left w:val="none" w:sz="0" w:space="0" w:color="auto"/>
        <w:bottom w:val="none" w:sz="0" w:space="0" w:color="auto"/>
        <w:right w:val="none" w:sz="0" w:space="0" w:color="auto"/>
      </w:divBdr>
    </w:div>
    <w:div w:id="1268584587">
      <w:bodyDiv w:val="1"/>
      <w:marLeft w:val="0"/>
      <w:marRight w:val="0"/>
      <w:marTop w:val="0"/>
      <w:marBottom w:val="0"/>
      <w:divBdr>
        <w:top w:val="none" w:sz="0" w:space="0" w:color="auto"/>
        <w:left w:val="none" w:sz="0" w:space="0" w:color="auto"/>
        <w:bottom w:val="none" w:sz="0" w:space="0" w:color="auto"/>
        <w:right w:val="none" w:sz="0" w:space="0" w:color="auto"/>
      </w:divBdr>
    </w:div>
    <w:div w:id="16356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traubing.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4D69D-F90B-4FAF-A674-65D0AF14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Vorläufige Sicherung, Bekanntmachungstext (lange Variante)</vt:lpstr>
    </vt:vector>
  </TitlesOfParts>
  <Company/>
  <LinksUpToDate>false</LinksUpToDate>
  <CharactersWithSpaces>3103</CharactersWithSpaces>
  <SharedDoc>false</SharedDoc>
  <HLinks>
    <vt:vector size="12" baseType="variant">
      <vt:variant>
        <vt:i4>1900658</vt:i4>
      </vt:variant>
      <vt:variant>
        <vt:i4>14</vt:i4>
      </vt:variant>
      <vt:variant>
        <vt:i4>0</vt:i4>
      </vt:variant>
      <vt:variant>
        <vt:i4>5</vt:i4>
      </vt:variant>
      <vt:variant>
        <vt:lpwstr>mailto:poststelle@lfu.bayern.de</vt:lpwstr>
      </vt:variant>
      <vt:variant>
        <vt:lpwstr/>
      </vt:variant>
      <vt:variant>
        <vt:i4>1048598</vt:i4>
      </vt:variant>
      <vt:variant>
        <vt:i4>11</vt:i4>
      </vt:variant>
      <vt:variant>
        <vt:i4>0</vt:i4>
      </vt:variant>
      <vt:variant>
        <vt:i4>5</vt:i4>
      </vt:variant>
      <vt:variant>
        <vt:lpwstr>http://www.lfu.bayern.de/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Vorläufige Sicherung, Bekanntmachungstext (lange Variante)</dc:title>
  <dc:subject>Überschwemmungsgebiete</dc:subject>
  <dc:creator>stmugv-51b</dc:creator>
  <cp:keywords>Überschwemmungsgebiete, vorläufige Sicherung</cp:keywords>
  <cp:lastModifiedBy>Strigl, Franz</cp:lastModifiedBy>
  <cp:revision>14</cp:revision>
  <cp:lastPrinted>2024-02-17T11:43:00Z</cp:lastPrinted>
  <dcterms:created xsi:type="dcterms:W3CDTF">2024-02-12T16:52:00Z</dcterms:created>
  <dcterms:modified xsi:type="dcterms:W3CDTF">2024-02-17T11:44:00Z</dcterms:modified>
</cp:coreProperties>
</file>